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jc w:val="center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С А Д Р Ж А Ј</w:t>
      </w:r>
    </w:p>
    <w:p w:rsidR="00643E0A" w:rsidRPr="00643E0A" w:rsidRDefault="00A440DE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ПРЕДЛОГ</w:t>
      </w:r>
      <w:bookmarkStart w:id="0" w:name="_GoBack"/>
      <w:bookmarkEnd w:id="0"/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ЗАКОНА О ЗАВРШНОМ РАЧУНУ БУЏЕТА РЕПУБЛИКЕ СРБИЈЕ ЗА 202</w:t>
      </w:r>
      <w:r w:rsidR="009045B0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</w:t>
      </w:r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ГОДИНУ</w:t>
      </w:r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1</w:t>
      </w:r>
    </w:p>
    <w:p w:rsidR="00643E0A" w:rsidRPr="00643E0A" w:rsidRDefault="00643E0A" w:rsidP="00643E0A">
      <w:pPr>
        <w:widowControl w:val="0"/>
        <w:tabs>
          <w:tab w:val="left" w:pos="1134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en-GB"/>
        </w:rPr>
        <w:t>I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ОПШТИ ДЕО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ПОСЕБАН ДЕО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  <w:t>6</w:t>
      </w:r>
    </w:p>
    <w:p w:rsidR="00643E0A" w:rsidRPr="000C1347" w:rsidRDefault="00643E0A" w:rsidP="00643E0A">
      <w:pPr>
        <w:widowControl w:val="0"/>
        <w:tabs>
          <w:tab w:val="left" w:pos="1276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ОБРАЗЛОЖЕЊЕ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="000C1347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79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УСТАВНИ ОСНОВ ЗА ДОНОШЕЊЕ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="000C1347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79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РАЗЛОЗИ ЗА ДОНОШЕЊЕ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="000C1347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79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САДРЖИНА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="000C1347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79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IV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ОБЈАШЊЕЊЕ ОСНОВНИХ ПРАВНИХ ИНСТИТУТА И ПОЈЕДИНАЧНИХ РЕШЕЊА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="000C1347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81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GB"/>
        </w:rPr>
        <w:t>V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ПОТРЕБНА СРЕДСТВА ЗА СПРОВОЂЕЊЕ ЗАКОНА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82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1) ИЗВЕШТАЈ О ИЗВРШЕЊУ БУЏЕТА РЕПУБЛИКЕ СРБИЈЕ ЗА 202</w:t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ГОДИНУ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СА ОБЈАШЊЕЊИМА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83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РАЧУН УКУПНИХ ПРИХОДА И ПРИМАЊА, РАСХОДА И ИЗДАТАКА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83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УКУПНИ ПРИХОДИ И ПРИМАЊА БУЏЕТА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84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УКУПНИ РАСХОДИ И ИЗДАЦИ БУЏЕТА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87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ИЗВЕШТАЈ О УЧИНКУ - ПРОГРАМИ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98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ОБРАЗЛОЖЕЊА ОДСТУПАЊА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228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2) ИЗВЕШТАЈ О ПРИМЉЕНИМ ДОНАЦИЈАМА И КРЕДИТИМА, ДОМАЋИМ И ИНОСТРАНИМ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И ИЗВРШЕНИМ ОТПЛАТАМА ДУГОВА У ТОКУ 202</w:t>
      </w:r>
      <w:r w:rsidR="000C1347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404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2.1. ИЗВЕШТАЈ О ПРИМЉЕНИМ ДОНАЦИЈАМА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404</w:t>
      </w: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2.2. ИЗВЕШТАЈ О ПРИМЉЕНИМ КРЕДИТИМА, ДОМАЋИМ И ИНОСТРАНИМ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И ИЗВРШЕНИМ ОТПЛАТАМА ДУГОВА У ТОКУ 202</w:t>
      </w:r>
      <w:r w:rsidR="000C1347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СТАЊ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en-GB"/>
        </w:rPr>
        <w:t>E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 xml:space="preserve"> ЈАВНОГ ДУГА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НА ДАН 31. ДЕЦЕМБАР 202</w:t>
      </w:r>
      <w:r w:rsidR="000C1347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ПРЕГЛЕД ОБАВЕЗА ПО ОСНОВУ ЈАВНОГ ДУГА РЕПУБЛИКЕ СРБИЈЕ НА ДАН 31. ДЕЦЕМБАР 202</w:t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 (СТАЊЕ ДУГА И ОТПЛАТЕ ГЛАВНИЦЕ И КАМАТЕ ТОКОМ 202</w:t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GB"/>
        </w:rPr>
        <w:t>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ДИРЕКТНЕ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0C1347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ДИРЕКТНЕ ОБАВЕЗЕ – УНУТРАШЊИ ЈАВНИ ДУГ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ДРЖАВНЕ ХАРТИЈЕ ОД ВРЕДНОСТИ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0C1347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ДУГОРОЧНЕ ДИНАРСКЕ ДРЖАВНЕ ХАРТИЈЕ ОД ВРЕДНОСТИ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409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ШТЕДНЕ ДИНАРСКЕ ОБВЕЗНИЦЕ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ДУГОРОЧНЕ ДРЖАВНЕ ХАРТИЈЕ ОД ВРЕДНОСТИ ДЕНОМИНОВАНЕ У ЕВРИМА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ШТЕДНЕ ОБВЕЗНИЦЕ ДЕНОМИНОВАНЕ У ЕВРИМА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ДРЖАВНЕ ОБВЕЗНИЦЕ ЕМИТОВАНЕ РАДИ РЕГУЛИСАЊА ОБАВЕЗА ПО ОСНОВУ ЗАКОНА О</w:t>
      </w:r>
    </w:p>
    <w:p w:rsidR="00643E0A" w:rsidRPr="00A70C2E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ВРАЋАЊУ ОДУЗЕТЕ ИМОВИНЕ И ОБЕШТЕЋЕЊУ………………………………………………………………</w:t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</w:rPr>
        <w:t>410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ПРЕУЗЕТЕ ОБАВЕЗЕ ПО ОСНОВУ НЕИСПЛАЋЕНИХ ПЕНЗИЈА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ДЕВИЗНА ШТЕДЊА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РАЂАНА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ДЕВИЗНА ШТЕДЊА - неисплаћена девизна штедња грађана положена код банака чије је седиште на 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територији Републике Србије и њиховим филијалама на територијама бивших република СФРЈ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70C2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lastRenderedPageBreak/>
        <w:t>ЗАЈАМ ЗА ПРИВРЕДНИ РАЗВОЈ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F8349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ПРЕУЗЕТА ОБАВЕЗА VOJVODJANSKE BANKE A.D. NOVI SAD ПРЕМА НАРОДНОЈ БАНЦИ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F8349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СРЈ ПРЕМА НАРОДНОЈ БАНЦИ СРБИЈЕ ПО ОСНОВУ УГОВОРА Г. БР. 840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F8349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СРЈ ПРЕМА НАРОДНОЈ БАНЦИ СРБИЈЕ ПО ОСНОВУ УГОВОРА Г. БР. 132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UNICREDIT BANK SRBIJA A.D BEOGRAD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414</w:t>
      </w:r>
    </w:p>
    <w:p w:rsidR="00643E0A" w:rsidRPr="00643E0A" w:rsidRDefault="00643E0A" w:rsidP="00643E0A">
      <w:pPr>
        <w:widowControl w:val="0"/>
        <w:tabs>
          <w:tab w:val="left" w:pos="709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OTP BANKA SRBIJA A.D. NOVI SAD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реконструкције и модернизације железничке пруге Суботица - Хоргош граница са Мађарском (Сегедин)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BANCA INTESA A.D. BEOGRAD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414</w:t>
      </w:r>
    </w:p>
    <w:p w:rsidR="00643E0A" w:rsidRPr="00CE06E0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NLB KOMERCIJALNA BANKA A.D. BEOGRAD - Пројекат изградње државног пута ИБ реда, деоница брзе саобраћајнице: Ауто-пут Е - 75 Београд - Ниш (петља "Пожaревац") - Пожаревац (Обилазница) - Велико Градиште - Голубац (Дунавска магистрала)………………………………………………………………………………………………………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ОБАВЕЗЕ ПО ОСНОВУ ДУГОРОЧНОГ ИНВЕСТИЦИОНОГ КРЕДИТА BANCA INTESA A.D. BEOGRAD - 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415</w:t>
      </w:r>
    </w:p>
    <w:p w:rsidR="00643E0A" w:rsidRPr="00643E0A" w:rsidRDefault="00643E0A" w:rsidP="00643E0A">
      <w:pPr>
        <w:widowControl w:val="0"/>
        <w:tabs>
          <w:tab w:val="left" w:pos="709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OTP BANKA SRBIJA A.D. NOVI SAD –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Финансирање пројеката изградње брзе саобраћајнице, деонице Пожаревац – Голубац (Дунавска магистрала)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415</w:t>
      </w:r>
    </w:p>
    <w:p w:rsidR="00643E0A" w:rsidRPr="00CE06E0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UNICREDIT BANK SRBIJA A.D. BEOGRAD - Финансирање пројекта Изградња линијске инфаструктуре - Национални стадион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415</w:t>
      </w:r>
    </w:p>
    <w:p w:rsidR="00643E0A" w:rsidRPr="00CE06E0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NLB KOMERCIJALNA BANKA A.D. BEOGRAD - Пројекат изградње обилазнице око Крагујевца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416</w:t>
      </w:r>
    </w:p>
    <w:p w:rsid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BANKA POŠTANSKA ŠTEDIONICA A.D. BEOGRAD - Пројекат изградње линијске инфаструктуре - Национални стадион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CE06E0">
        <w:rPr>
          <w:rFonts w:ascii="Times New Roman" w:eastAsia="Times New Roman" w:hAnsi="Times New Roman" w:cs="Times New Roman"/>
          <w:bCs/>
          <w:noProof/>
          <w:sz w:val="18"/>
          <w:szCs w:val="18"/>
        </w:rPr>
        <w:t>416</w:t>
      </w:r>
    </w:p>
    <w:p w:rsidR="00CE06E0" w:rsidRPr="00B90431" w:rsidRDefault="00CE06E0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OTP </w:t>
      </w:r>
      <w:r w:rsidR="00EA6E9B"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BANKA SRBIJA A.D.</w:t>
      </w:r>
    </w:p>
    <w:p w:rsidR="00B90431" w:rsidRDefault="00EA6E9B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NOVI SAD - Пројекат изградње обилазнице око Крагујевца</w:t>
      </w:r>
      <w:r w:rsidR="00B90431"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...............................................................................</w:t>
      </w:r>
      <w:r w:rsid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........</w:t>
      </w:r>
      <w:r w:rsidR="00B90431"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416</w:t>
      </w:r>
    </w:p>
    <w:p w:rsidR="00B90431" w:rsidRDefault="00B90431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ПО ОСНОВУ ДУГОРОЧНОГ ИНВЕСТИЦИОНОГ КРЕДИТА BANKA POŠTANSKA ŠTEDIONICA</w:t>
      </w:r>
    </w:p>
    <w:p w:rsidR="00B90431" w:rsidRDefault="00B90431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A.D. BEOGRAD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</w:t>
      </w:r>
      <w:r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- Пројекат изградње урбане инфраструктуре и националног стадиона са приступним </w:t>
      </w:r>
    </w:p>
    <w:p w:rsidR="00B90431" w:rsidRDefault="00F03309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с</w:t>
      </w:r>
      <w:r w:rsidR="00B90431" w:rsidRP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аобраћајницама</w:t>
      </w:r>
      <w:r w:rsidR="00B90431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..............................................................................................................................................................416</w:t>
      </w:r>
    </w:p>
    <w:p w:rsidR="009337B4" w:rsidRDefault="009337B4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ПО ОСНОВУ ДУГОРОЧНОГ ИНВЕСТИЦИОНОГ КРЕДИТА UNICREDIT BANK SRBIJA A.D</w:t>
      </w:r>
    </w:p>
    <w:p w:rsidR="009337B4" w:rsidRDefault="009337B4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BEOGRAD - 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Пројекат Рума - Шабац – Лозница ...........................................................................................................</w:t>
      </w: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6</w:t>
      </w:r>
    </w:p>
    <w:p w:rsidR="009337B4" w:rsidRDefault="009337B4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ПО ОСНОВУ ДУГОРОЧНОГ ИНВЕСТИЦИОНОГ КРЕДИТА BANCA INTESA A.D. BEOGRAD</w:t>
      </w:r>
    </w:p>
    <w:p w:rsidR="005C26AC" w:rsidRDefault="009337B4" w:rsidP="00B90431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- Пројекат Рума - Шабац 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–</w:t>
      </w:r>
      <w:r w:rsidRPr="009337B4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Лозница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...............................................................................................................................417</w:t>
      </w:r>
    </w:p>
    <w:p w:rsidR="005C26AC" w:rsidRPr="005C26AC" w:rsidRDefault="005C26AC" w:rsidP="005C26AC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5C26AC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ПО ОСНОВУ ДУГОРОЧНОГ ИНВЕСТИЦИОНОГ КРЕДИТА BANKA POŠTANSKA ŠTEDIONICA</w:t>
      </w:r>
    </w:p>
    <w:p w:rsidR="00844EBE" w:rsidRDefault="005C26AC" w:rsidP="005C26AC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5C26AC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A.D. BEOGRAD  - Пројекат изградње</w:t>
      </w:r>
      <w:r w:rsidRPr="005C26AC">
        <w:t xml:space="preserve"> </w:t>
      </w:r>
      <w:r w:rsidRPr="005C26AC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саобраћајнице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</w:t>
      </w:r>
      <w:r w:rsidRPr="005C26AC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са инфраструктуром на Макишком Пољу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..........................417</w:t>
      </w:r>
    </w:p>
    <w:p w:rsidR="00844EBE" w:rsidRDefault="00844EBE" w:rsidP="005C26AC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844EB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BANKA POŠTANSKA ŠTEDIONICA A.D. BEOGRAD - Пројекат изградње тунелске везе између </w:t>
      </w:r>
    </w:p>
    <w:p w:rsidR="005C26AC" w:rsidRPr="005C26AC" w:rsidRDefault="00844EBE" w:rsidP="005C26AC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844EBE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Карађорђеве улице и Дунавске падине</w:t>
      </w: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..........................................................................................................................417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ДИРЕКТНЕ ОБАВЕЗЕ - СПОЉНИ ЈАВНИ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1. КРЕДИТИ МЕЂУНАРОДНЕ БАНКЕ ЗА ОБНОВУ И РАЗВОЈ (IBRD)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417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2. КРЕДИТИ МЕЂУНАРОДНОГ УДРУЖЕЊА ЗА РАЗВОЈ (IDА)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423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3. КРЕДИТИ ЕВРОПСКЕ ИНВЕСТИЦИОНЕ БАНКЕ (EIB)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424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4. КРЕДИТИ ЕВРОПСКЕ БАНКЕ ЗА ОБНОВУ И РАЗВОЈ (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EBRD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428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5. КРЕДИТИ БАНКЕ ЗА РАЗВОЈ САВЕТА ЕВРОПЕ (CEB)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430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6. КРЕДИТИ НЕМАЧКЕ РАЗВОЈНЕ БАНКЕ (KFW)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432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7. КРЕДИТИ КИНЕСКЕ EX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PORT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-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IMPORT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БАНКЕ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434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8. ОСТАЛЕ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437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II ИНДИРЕКТНЕ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447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ИНДИРЕКТНЕ ОБАВЕЗЕ - УНУТРАШЊИ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447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ИНДИРЕКТНЕ ОБАВЕЗЕ - СПОЉНИ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1. КРЕДИТИ ЕВРОПСКЕ БАНКЕ ЗА ОБНОВУ И РАЗВОЈ (EBRD)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2. КРЕДИТИ ЕВРОПСКЕ ИНВЕСТИЦИОНЕ БАНКЕ (EIB)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3. КРЕДИТИ НЕМАЧКЕ РАЗВОЈНЕ БАНКЕ (K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F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W)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4. ОСТАЛИ КРЕДИТИ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143BDF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III НЕГАРАНТОВАНИ ЈАВНИ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16F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IV ЈАВНИ ДУГ НА НИВОУ СЕКТОРА ДРЖАВЕ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16F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V НОВЕ ДИРЕКТНЕ ОБАВЕЗЕ ПО ОСНОВУ УЗЕТИХ ЗАЈМОВА У 202</w:t>
      </w:r>
      <w:r w:rsidR="00016F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016F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F95053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lastRenderedPageBreak/>
        <w:t>VI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 НОВЕ ОБАВЕЗЕ ПО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ОСНОВУ ЗАКОНА О ВРАЋАЊУ ОДУЗЕТЕ ИМОВИНЕ И ОБЕШТЕЋЕЊУ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="00F95053">
        <w:rPr>
          <w:rFonts w:ascii="Times New Roman" w:eastAsia="Times New Roman" w:hAnsi="Times New Roman" w:cs="Times New Roman"/>
          <w:bCs/>
          <w:noProof/>
          <w:sz w:val="18"/>
          <w:szCs w:val="18"/>
        </w:rPr>
        <w:t>462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VI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НОВЕ ИНДИРЕКТНЕ ОБАВЕЗЕ У 202</w:t>
      </w:r>
      <w:r w:rsidR="00F95053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F95053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462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3) ИЗВЕШТАЈ О КОРИШЋЕЊУ СРЕДСТАВА ИЗ ТЕКУЋЕ И СТАЛНЕ БУЏЕТСКЕ РЕЗЕРВЕ У 202</w:t>
      </w:r>
      <w:r w:rsidR="00F95053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F95053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464</w:t>
      </w: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A308B5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4) ИЗВЕШТАЈ О ГАРАНЦИЈАМА ДАТИМ У ТОКУ 202</w:t>
      </w:r>
      <w:r w:rsidR="00F95053"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</w:t>
      </w:r>
      <w:r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 - НОВЕ ИНДИРЕКТНЕ ОБАВЕЗЕ</w:t>
      </w:r>
      <w:r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526</w:t>
      </w:r>
    </w:p>
    <w:p w:rsidR="00643E0A" w:rsidRPr="00A308B5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A308B5" w:rsidRDefault="00643E0A" w:rsidP="00643E0A">
      <w:pPr>
        <w:widowControl w:val="0"/>
        <w:tabs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5) ИЗВЕШТАЈ ЕКСТЕРНЕ РЕВИЗИЈЕ О ФИНАНСИЈСКИМ ИЗВЕШТАЈИМА ИЗ ЧЛАНА 106. ЗАКОНА О БУЏЕТСКОМ СИСТЕМУ</w:t>
      </w:r>
      <w:r w:rsidRP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A308B5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526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jc w:val="center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A308B5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*                      *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jc w:val="center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*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ОБРАСЦИ ЗАВРШНОГ РАЧУНА БУЏЕТА РЕПУБЛИКЕ СРБИЈЕ ЗА 202</w:t>
      </w:r>
      <w:r w:rsidR="00F95053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ГОДИНУ: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БИЛАНС СТАЊА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  <w:t>БИЛАНС ПРИХОДА И РАСХОДА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ИЗВЕШТАЈ О КАПИТАЛНИМ ИЗДАЦИМА И ПРИМАЊИМА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ИЗВЕШТАЈ О НОВЧАНИМ ТОКОВИМА</w:t>
      </w:r>
    </w:p>
    <w:p w:rsidR="00643E0A" w:rsidRPr="00643E0A" w:rsidRDefault="00643E0A" w:rsidP="00643E0A">
      <w:pPr>
        <w:keepNext/>
        <w:tabs>
          <w:tab w:val="right" w:leader="dot" w:pos="8784"/>
        </w:tabs>
        <w:spacing w:before="240" w:after="0" w:line="240" w:lineRule="auto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ИЗВЕШТАЈ О ИЗВРШЕЊУ БУЏЕТА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ОБРАСЦИ БУЏЕТА РЕПУБЛИКЕ СРБИЈЕ ЗА 202</w:t>
      </w:r>
      <w:r w:rsidR="00F95053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ГОДИНУ: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ЗБИРНИ БИЛАНС СТАЊА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КОНСОЛИДОВАНИ </w:t>
      </w:r>
      <w:r w:rsidRPr="00643E0A"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  <w:t>БИЛАНС ПРИХОДА И РАСХОДА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ИЗВЕШТАЈ О КАПИТАЛНИМ ИЗДАЦИМА И ПРИМАЊИМА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ИЗВЕШТАЈ О НОВЧАНИМ ТОКОВИМА</w:t>
      </w:r>
    </w:p>
    <w:p w:rsidR="00643E0A" w:rsidRPr="00643E0A" w:rsidRDefault="00643E0A" w:rsidP="00643E0A">
      <w:pPr>
        <w:keepNext/>
        <w:tabs>
          <w:tab w:val="right" w:leader="dot" w:pos="8784"/>
        </w:tabs>
        <w:spacing w:before="240" w:after="0" w:line="240" w:lineRule="auto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КОНСОЛИДОВАНИ ИЗВЕШТАЈ О ИЗВРШЕЊУ БУЏЕТА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ОДЛУКА О УСВАЈАЊУ ЗАВРШНОГ РАЧУНА РЕПУБЛИЧКОГ ФОНДА ЗА ПЕНЗИЈСКО И ИНВАЛИДСКО ОСИГУРАЊЕ ЗА ПЕРИОД 01.01. – 31.12.202</w:t>
      </w:r>
      <w:r w:rsidR="00F95053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ГОДИНЕ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ОДЛУКА О ЗАВРШНОМ РАЧУНУ НАЦИОНАЛНЕ СЛУЖБЕ ЗА ЗАПОШЉАВАЊЕ ЗА 202</w:t>
      </w:r>
      <w:r w:rsidR="00F95053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ОДЛУКА О 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УСВАЈАЊУ ЗАВРШНОГ РАЧУНА РЕПУБЛИЧКОГ ФОНДА ЗА ЗДРАВСТВЕНО ОСИГУРАЊЕ ЗА 202</w:t>
      </w:r>
      <w:r w:rsidR="00F95053">
        <w:rPr>
          <w:rFonts w:ascii="Times New Roman" w:eastAsia="Calibri" w:hAnsi="Times New Roman" w:cs="Times New Roman"/>
          <w:noProof/>
          <w:sz w:val="18"/>
          <w:szCs w:val="18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. ГОДИНУ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en-GB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ОДЛУКА О УСВАЈАЊУ 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ГОДИШЊЕГ ФИНАНСИЈСКОГ ИЗВЕШТАЈА (ЗАВРШНОГ РАЧУНА)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 ФОНДА ЗА СОЦИЈАЛНО ОСИГУРАЊЕ ВОЈНИХ ОСИГУРАНИКА ЗА ПЕРИОД ОД 01. 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ЈАНУАРА ДО 31. ДЕЦЕМБРА 202</w:t>
      </w:r>
      <w:r w:rsidR="00F95053">
        <w:rPr>
          <w:rFonts w:ascii="Times New Roman" w:eastAsia="Calibri" w:hAnsi="Times New Roman" w:cs="Times New Roman"/>
          <w:noProof/>
          <w:sz w:val="18"/>
          <w:szCs w:val="18"/>
        </w:rPr>
        <w:t>4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. ГОДИНЕ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en-GB"/>
        </w:rPr>
      </w:pPr>
    </w:p>
    <w:p w:rsidR="00496FF2" w:rsidRDefault="00496FF2"/>
    <w:sectPr w:rsidR="00496FF2" w:rsidSect="002B36A7">
      <w:pgSz w:w="12240" w:h="15840"/>
      <w:pgMar w:top="1418" w:right="1138" w:bottom="1134" w:left="1699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9A"/>
    <w:rsid w:val="00016FB5"/>
    <w:rsid w:val="000C1347"/>
    <w:rsid w:val="00143BDF"/>
    <w:rsid w:val="00496FF2"/>
    <w:rsid w:val="00502B5C"/>
    <w:rsid w:val="005C26AC"/>
    <w:rsid w:val="00643E0A"/>
    <w:rsid w:val="00844EBE"/>
    <w:rsid w:val="008A4A8B"/>
    <w:rsid w:val="009045B0"/>
    <w:rsid w:val="009337B4"/>
    <w:rsid w:val="00A308B5"/>
    <w:rsid w:val="00A440DE"/>
    <w:rsid w:val="00A70C2E"/>
    <w:rsid w:val="00B90431"/>
    <w:rsid w:val="00CE06E0"/>
    <w:rsid w:val="00D5195E"/>
    <w:rsid w:val="00E81C7C"/>
    <w:rsid w:val="00EA6E9B"/>
    <w:rsid w:val="00F03309"/>
    <w:rsid w:val="00F1599A"/>
    <w:rsid w:val="00F8349A"/>
    <w:rsid w:val="00F9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303EA"/>
  <w15:chartTrackingRefBased/>
  <w15:docId w15:val="{13B53C13-02A4-42BE-9409-B44C6022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5B0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Snezana Marinovic</cp:lastModifiedBy>
  <cp:revision>15</cp:revision>
  <cp:lastPrinted>2025-10-29T11:03:00Z</cp:lastPrinted>
  <dcterms:created xsi:type="dcterms:W3CDTF">2024-06-14T07:14:00Z</dcterms:created>
  <dcterms:modified xsi:type="dcterms:W3CDTF">2025-10-29T11:03:00Z</dcterms:modified>
</cp:coreProperties>
</file>